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A7" w:rsidRDefault="00F020A7" w:rsidP="00387492">
      <w:pPr>
        <w:pStyle w:val="a7"/>
        <w:spacing w:after="0" w:line="240" w:lineRule="auto"/>
        <w:ind w:firstLine="720"/>
        <w:rPr>
          <w:color w:val="auto"/>
          <w:spacing w:val="0"/>
        </w:rPr>
      </w:pPr>
      <w:r>
        <w:rPr>
          <w:noProof/>
          <w:color w:val="auto"/>
          <w:spacing w:val="0"/>
          <w:lang w:val="en-US" w:eastAsia="en-US"/>
        </w:rPr>
        <w:drawing>
          <wp:inline distT="0" distB="0" distL="0" distR="0">
            <wp:extent cx="5934075" cy="8162925"/>
            <wp:effectExtent l="0" t="0" r="9525" b="9525"/>
            <wp:docPr id="1" name="Рисунок 1" descr="C:\Users\Admin\AppData\Local\Microsoft\Windows\INetCache\Content.Word\Висновок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Висновок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F020A7" w:rsidRDefault="00F020A7" w:rsidP="00387492">
      <w:pPr>
        <w:pStyle w:val="a7"/>
        <w:spacing w:after="0" w:line="240" w:lineRule="auto"/>
        <w:ind w:firstLine="720"/>
        <w:rPr>
          <w:color w:val="auto"/>
          <w:spacing w:val="0"/>
        </w:rPr>
      </w:pPr>
    </w:p>
    <w:p w:rsidR="00F020A7" w:rsidRDefault="00F020A7" w:rsidP="00387492">
      <w:pPr>
        <w:pStyle w:val="a7"/>
        <w:spacing w:after="0" w:line="240" w:lineRule="auto"/>
        <w:ind w:firstLine="720"/>
        <w:rPr>
          <w:color w:val="auto"/>
          <w:spacing w:val="0"/>
        </w:rPr>
      </w:pPr>
    </w:p>
    <w:p w:rsidR="00F020A7" w:rsidRDefault="00F020A7" w:rsidP="00387492">
      <w:pPr>
        <w:pStyle w:val="a7"/>
        <w:spacing w:after="0" w:line="240" w:lineRule="auto"/>
        <w:ind w:firstLine="720"/>
        <w:rPr>
          <w:color w:val="auto"/>
          <w:spacing w:val="0"/>
        </w:rPr>
      </w:pPr>
    </w:p>
    <w:p w:rsidR="00F020A7" w:rsidRDefault="00F020A7" w:rsidP="00387492">
      <w:pPr>
        <w:pStyle w:val="a7"/>
        <w:spacing w:after="0" w:line="240" w:lineRule="auto"/>
        <w:ind w:firstLine="720"/>
        <w:rPr>
          <w:color w:val="auto"/>
          <w:spacing w:val="0"/>
        </w:rPr>
      </w:pPr>
    </w:p>
    <w:p w:rsidR="00F020A7" w:rsidRDefault="00F020A7" w:rsidP="00F020A7">
      <w:pPr>
        <w:pStyle w:val="a7"/>
        <w:spacing w:after="0" w:line="240" w:lineRule="auto"/>
        <w:ind w:firstLine="0"/>
        <w:rPr>
          <w:color w:val="auto"/>
          <w:spacing w:val="0"/>
        </w:rPr>
      </w:pPr>
    </w:p>
    <w:p w:rsidR="00387492" w:rsidRPr="000D6B59" w:rsidRDefault="00387492" w:rsidP="00387492">
      <w:pPr>
        <w:pStyle w:val="a7"/>
        <w:spacing w:after="0" w:line="240" w:lineRule="auto"/>
        <w:ind w:firstLine="720"/>
        <w:rPr>
          <w:color w:val="auto"/>
          <w:spacing w:val="0"/>
        </w:rPr>
      </w:pPr>
      <w:r w:rsidRPr="000D6B59">
        <w:rPr>
          <w:color w:val="auto"/>
          <w:spacing w:val="0"/>
        </w:rPr>
        <w:lastRenderedPageBreak/>
        <w:t xml:space="preserve">теоретичному та практичному рівнях не здійснювалось. </w:t>
      </w:r>
    </w:p>
    <w:p w:rsidR="00387492" w:rsidRDefault="00387492" w:rsidP="00387492">
      <w:pPr>
        <w:pStyle w:val="a7"/>
        <w:spacing w:after="0" w:line="240" w:lineRule="auto"/>
        <w:ind w:firstLine="720"/>
        <w:rPr>
          <w:color w:val="auto"/>
          <w:spacing w:val="0"/>
        </w:rPr>
      </w:pPr>
      <w:r>
        <w:rPr>
          <w:color w:val="auto"/>
          <w:spacing w:val="0"/>
        </w:rPr>
        <w:t>У роботі було в</w:t>
      </w:r>
      <w:r w:rsidRPr="000D6B59">
        <w:rPr>
          <w:color w:val="auto"/>
          <w:spacing w:val="0"/>
        </w:rPr>
        <w:t xml:space="preserve">становлено, що при визначенні нормативно закріплених ознак надр як об’єктів податкових правовідносин необхідно враховувати: їх розташування під земною поверхнею; можливість  геологічного вивчення; доступність освоєння. </w:t>
      </w:r>
    </w:p>
    <w:p w:rsidR="00387492" w:rsidRPr="000D6B59" w:rsidRDefault="00387492" w:rsidP="00387492">
      <w:pPr>
        <w:spacing w:after="0" w:line="240" w:lineRule="auto"/>
        <w:ind w:firstLine="737"/>
        <w:jc w:val="both"/>
        <w:rPr>
          <w:rFonts w:ascii="Times New Roman" w:hAnsi="Times New Roman" w:cs="Times New Roman"/>
          <w:sz w:val="28"/>
          <w:szCs w:val="28"/>
          <w:lang w:val="uk-UA"/>
        </w:rPr>
      </w:pPr>
      <w:r w:rsidRPr="000D6B59">
        <w:rPr>
          <w:rFonts w:ascii="Times New Roman" w:eastAsia="Calibri" w:hAnsi="Times New Roman" w:cs="Times New Roman"/>
          <w:color w:val="000000"/>
          <w:sz w:val="28"/>
          <w:szCs w:val="28"/>
          <w:lang w:val="uk-UA"/>
        </w:rPr>
        <w:t xml:space="preserve">Обґрунтовано необхідність віднесення рентних платежів до системи публічних фінансів як </w:t>
      </w:r>
      <w:r w:rsidRPr="000D6B59">
        <w:rPr>
          <w:rFonts w:ascii="Times New Roman" w:hAnsi="Times New Roman" w:cs="Times New Roman"/>
          <w:sz w:val="28"/>
          <w:szCs w:val="28"/>
          <w:lang w:val="uk-UA"/>
        </w:rPr>
        <w:t xml:space="preserve">детермінанти міри та обсягу здійснення функцій публічного </w:t>
      </w:r>
      <w:r>
        <w:rPr>
          <w:rFonts w:ascii="Times New Roman" w:hAnsi="Times New Roman" w:cs="Times New Roman"/>
          <w:sz w:val="28"/>
          <w:szCs w:val="28"/>
          <w:lang w:val="uk-UA"/>
        </w:rPr>
        <w:t>адміністрування</w:t>
      </w:r>
      <w:r w:rsidRPr="000D6B59">
        <w:rPr>
          <w:rFonts w:ascii="Times New Roman" w:hAnsi="Times New Roman" w:cs="Times New Roman"/>
          <w:sz w:val="28"/>
          <w:szCs w:val="28"/>
          <w:lang w:val="uk-UA"/>
        </w:rPr>
        <w:t>, як критерію оцінки ефективності здійснення функцій держави, як характеристики єдності державного ладу, як відображення окремої соціальної групи чи статусу  суб’єктів суспільства та їх взаємозв’язок з державою.</w:t>
      </w:r>
    </w:p>
    <w:p w:rsidR="000C6A7A" w:rsidRPr="005A28B9" w:rsidRDefault="000C6A7A" w:rsidP="00121AD4">
      <w:pPr>
        <w:pStyle w:val="HTML"/>
        <w:shd w:val="clear" w:color="auto" w:fill="FFFFFF"/>
        <w:tabs>
          <w:tab w:val="left" w:pos="0"/>
        </w:tabs>
        <w:jc w:val="both"/>
        <w:rPr>
          <w:rFonts w:ascii="Times New Roman" w:hAnsi="Times New Roman" w:cs="Times New Roman"/>
          <w:lang w:val="uk-UA"/>
        </w:rPr>
      </w:pPr>
    </w:p>
    <w:p w:rsidR="000C6A7A" w:rsidRPr="003C64CA" w:rsidRDefault="00F64FB3" w:rsidP="003C64CA">
      <w:pPr>
        <w:spacing w:after="0" w:line="240" w:lineRule="auto"/>
        <w:ind w:firstLine="709"/>
        <w:jc w:val="both"/>
        <w:rPr>
          <w:rFonts w:ascii="Times New Roman" w:eastAsia="Symbol" w:hAnsi="Times New Roman" w:cs="Times New Roman"/>
          <w:sz w:val="28"/>
          <w:szCs w:val="28"/>
          <w:lang w:val="uk-UA"/>
        </w:rPr>
      </w:pPr>
      <w:r w:rsidRPr="003C64CA">
        <w:rPr>
          <w:rFonts w:ascii="Times New Roman" w:eastAsia="Symbol" w:hAnsi="Times New Roman" w:cs="Times New Roman"/>
          <w:b/>
          <w:sz w:val="28"/>
          <w:szCs w:val="28"/>
          <w:lang w:val="uk-UA"/>
        </w:rPr>
        <w:t>Наукові результати та їх новизна полягають у наступному</w:t>
      </w:r>
      <w:r w:rsidRPr="003C64CA">
        <w:rPr>
          <w:rFonts w:ascii="Times New Roman" w:eastAsia="Symbol" w:hAnsi="Times New Roman" w:cs="Times New Roman"/>
          <w:sz w:val="28"/>
          <w:szCs w:val="28"/>
          <w:lang w:val="uk-UA"/>
        </w:rPr>
        <w:t>:</w:t>
      </w:r>
    </w:p>
    <w:p w:rsidR="00387492" w:rsidRPr="003C64CA" w:rsidRDefault="000C6A7A" w:rsidP="003C64CA">
      <w:pPr>
        <w:pStyle w:val="a7"/>
        <w:spacing w:after="0" w:line="240" w:lineRule="auto"/>
        <w:ind w:firstLine="709"/>
        <w:rPr>
          <w:spacing w:val="0"/>
        </w:rPr>
      </w:pPr>
      <w:r w:rsidRPr="003C64CA">
        <w:rPr>
          <w:rFonts w:eastAsia="Symbol"/>
        </w:rPr>
        <w:t>‒</w:t>
      </w:r>
      <w:r w:rsidR="00F64FB3" w:rsidRPr="003C64CA">
        <w:rPr>
          <w:rFonts w:eastAsia="Symbol"/>
        </w:rPr>
        <w:t xml:space="preserve"> </w:t>
      </w:r>
      <w:r w:rsidR="00387492" w:rsidRPr="003C64CA">
        <w:rPr>
          <w:rFonts w:eastAsia="TimesNewRomanPSMT"/>
          <w:spacing w:val="0"/>
        </w:rPr>
        <w:t xml:space="preserve">визначено авторський підхід до </w:t>
      </w:r>
      <w:r w:rsidR="00387492" w:rsidRPr="003C64CA">
        <w:rPr>
          <w:spacing w:val="0"/>
        </w:rPr>
        <w:t>розуміння ренти у сфері використання надр як складового елементу фінансової системи країни, цільовим призначенням якої є розподіл коштів державного та місцевих бюджетів задля задоволення публічних інтересів (потреб), а саме потреб сталого розвитку та раціонального використання природних ресурсів;</w:t>
      </w:r>
    </w:p>
    <w:p w:rsidR="00387492" w:rsidRPr="003C64CA" w:rsidRDefault="00387492" w:rsidP="003C64CA">
      <w:pPr>
        <w:autoSpaceDE w:val="0"/>
        <w:autoSpaceDN w:val="0"/>
        <w:adjustRightInd w:val="0"/>
        <w:spacing w:after="0" w:line="240" w:lineRule="auto"/>
        <w:ind w:firstLine="709"/>
        <w:jc w:val="both"/>
        <w:textAlignment w:val="center"/>
        <w:rPr>
          <w:rFonts w:ascii="Times New Roman" w:eastAsia="TimesNewRomanPSMT" w:hAnsi="Times New Roman"/>
          <w:sz w:val="28"/>
          <w:szCs w:val="28"/>
          <w:lang w:val="uk-UA"/>
        </w:rPr>
      </w:pPr>
      <w:r w:rsidRPr="003C64CA">
        <w:rPr>
          <w:rFonts w:ascii="Times New Roman" w:hAnsi="Times New Roman" w:cs="Times New Roman"/>
          <w:sz w:val="28"/>
          <w:szCs w:val="28"/>
          <w:lang w:val="uk-UA"/>
        </w:rPr>
        <w:t xml:space="preserve">- </w:t>
      </w:r>
      <w:r w:rsidRPr="003C64CA">
        <w:rPr>
          <w:rFonts w:ascii="Times New Roman" w:eastAsia="TimesNewRomanPSMT" w:hAnsi="Times New Roman"/>
          <w:sz w:val="28"/>
          <w:szCs w:val="28"/>
          <w:lang w:val="uk-UA"/>
        </w:rPr>
        <w:t xml:space="preserve">встановлено сутність категорії </w:t>
      </w:r>
      <w:r w:rsidRPr="003C64CA">
        <w:rPr>
          <w:rFonts w:ascii="Times New Roman" w:hAnsi="Times New Roman" w:cs="Times New Roman"/>
          <w:sz w:val="28"/>
          <w:szCs w:val="28"/>
          <w:lang w:val="uk-UA"/>
        </w:rPr>
        <w:t>«</w:t>
      </w:r>
      <w:r w:rsidRPr="003C64CA">
        <w:rPr>
          <w:rFonts w:ascii="Times New Roman" w:eastAsia="Times New Roman" w:hAnsi="Times New Roman" w:cs="Times New Roman"/>
          <w:iCs/>
          <w:sz w:val="28"/>
          <w:szCs w:val="28"/>
          <w:lang w:val="uk-UA"/>
        </w:rPr>
        <w:t>організаційно-правовий механізм справляння рентної плати за користування надрами</w:t>
      </w:r>
      <w:r w:rsidRPr="003C64CA">
        <w:rPr>
          <w:rFonts w:ascii="Times New Roman" w:hAnsi="Times New Roman" w:cs="Times New Roman"/>
          <w:sz w:val="28"/>
          <w:szCs w:val="28"/>
          <w:lang w:val="uk-UA"/>
        </w:rPr>
        <w:t>» як складної сукупності нормативних структурних елементів, об’єктів та суб’єктів, взаємодія яких має бути врегульованою та спрямовуватися на створення, розподіл, привласнення та вилучення публічних фінансових ресурсів  (надходжень) від використання природних ресурсів, що застосовується на підставі застосування речових титулів права власності на природні та інші ресурси, що використовуються в процесі господарювання</w:t>
      </w:r>
      <w:r w:rsidRPr="003C64CA">
        <w:rPr>
          <w:rFonts w:ascii="Times New Roman" w:eastAsia="TimesNewRomanPSMT" w:hAnsi="Times New Roman"/>
          <w:sz w:val="28"/>
          <w:szCs w:val="28"/>
          <w:lang w:val="uk-UA"/>
        </w:rPr>
        <w:t>;</w:t>
      </w:r>
    </w:p>
    <w:p w:rsidR="00387492" w:rsidRPr="003C64CA" w:rsidRDefault="00387492" w:rsidP="003C64CA">
      <w:pPr>
        <w:pStyle w:val="a9"/>
        <w:spacing w:before="0" w:beforeAutospacing="0" w:after="0" w:afterAutospacing="0"/>
        <w:ind w:firstLine="709"/>
        <w:jc w:val="both"/>
        <w:rPr>
          <w:sz w:val="28"/>
          <w:szCs w:val="28"/>
          <w:lang w:val="uk-UA"/>
        </w:rPr>
      </w:pPr>
      <w:r w:rsidRPr="003C64CA">
        <w:rPr>
          <w:sz w:val="28"/>
          <w:szCs w:val="28"/>
          <w:lang w:val="uk-UA"/>
        </w:rPr>
        <w:t xml:space="preserve">- </w:t>
      </w:r>
      <w:r w:rsidRPr="003C64CA">
        <w:rPr>
          <w:i/>
          <w:sz w:val="28"/>
          <w:szCs w:val="28"/>
          <w:lang w:val="uk-UA"/>
        </w:rPr>
        <w:t xml:space="preserve">удосконалено </w:t>
      </w:r>
      <w:r w:rsidRPr="003C64CA">
        <w:rPr>
          <w:sz w:val="28"/>
          <w:szCs w:val="28"/>
          <w:lang w:val="uk-UA"/>
        </w:rPr>
        <w:t>наукові підходи до здійснення класифікації рентних платежів, де виокремлено такі критерії, як: джерело надходження (неподаткова та податкова); об’єкт оподаткування (земельна, надрова (гірнича), водна, лісова та інші види рент); функціональне призначення (рентні платежі, які використовуються для задоволення публічного інтересу; рентні платежі, які використовуються для задоволення приватного інтересу); суб’єкт-платник ренти;</w:t>
      </w:r>
    </w:p>
    <w:p w:rsidR="00387492" w:rsidRPr="003C64CA" w:rsidRDefault="00387492" w:rsidP="003C64CA">
      <w:pPr>
        <w:pStyle w:val="a7"/>
        <w:spacing w:after="0" w:line="240" w:lineRule="auto"/>
        <w:ind w:firstLine="709"/>
        <w:rPr>
          <w:color w:val="auto"/>
          <w:spacing w:val="0"/>
        </w:rPr>
      </w:pPr>
      <w:r w:rsidRPr="003C64CA">
        <w:rPr>
          <w:spacing w:val="0"/>
        </w:rPr>
        <w:t xml:space="preserve">- </w:t>
      </w:r>
      <w:r w:rsidR="003C64CA" w:rsidRPr="003C64CA">
        <w:rPr>
          <w:spacing w:val="0"/>
        </w:rPr>
        <w:t xml:space="preserve">удосконалення </w:t>
      </w:r>
      <w:r w:rsidRPr="003C64CA">
        <w:rPr>
          <w:spacing w:val="0"/>
        </w:rPr>
        <w:t xml:space="preserve">розуміння </w:t>
      </w:r>
      <w:r w:rsidRPr="003C64CA">
        <w:rPr>
          <w:color w:val="auto"/>
          <w:spacing w:val="0"/>
        </w:rPr>
        <w:t>нормативного підходу для визначення сутності надр як «частини земної кори, що розташованої під поверхнею суші та дном водоймищ, включаючи підземні води, що сягає глибин, доступних для геологічного освоєння, загального та спеціального користування»;</w:t>
      </w:r>
    </w:p>
    <w:p w:rsidR="00387492" w:rsidRPr="003C64CA" w:rsidRDefault="00387492" w:rsidP="003C64CA">
      <w:pPr>
        <w:pStyle w:val="2"/>
        <w:shd w:val="clear" w:color="auto" w:fill="auto"/>
        <w:spacing w:after="0" w:line="240" w:lineRule="auto"/>
        <w:ind w:firstLine="709"/>
        <w:jc w:val="both"/>
        <w:rPr>
          <w:rFonts w:ascii="Times New Roman" w:eastAsia="TimesNewRomanPSMT" w:hAnsi="Times New Roman" w:cs="Times New Roman"/>
          <w:sz w:val="28"/>
          <w:szCs w:val="28"/>
          <w:lang w:val="uk-UA"/>
        </w:rPr>
      </w:pPr>
      <w:r w:rsidRPr="003C64CA">
        <w:rPr>
          <w:rFonts w:ascii="Times New Roman" w:hAnsi="Times New Roman" w:cs="Times New Roman"/>
          <w:sz w:val="28"/>
          <w:szCs w:val="28"/>
          <w:lang w:val="uk-UA"/>
        </w:rPr>
        <w:t xml:space="preserve">- </w:t>
      </w:r>
      <w:r w:rsidR="003C64CA" w:rsidRPr="003C64CA">
        <w:rPr>
          <w:rFonts w:ascii="Times New Roman" w:hAnsi="Times New Roman" w:cs="Times New Roman"/>
          <w:sz w:val="28"/>
          <w:szCs w:val="28"/>
          <w:lang w:val="uk-UA"/>
        </w:rPr>
        <w:t xml:space="preserve">обґрунтовано </w:t>
      </w:r>
      <w:r w:rsidRPr="003C64CA">
        <w:rPr>
          <w:rFonts w:ascii="Times New Roman" w:hAnsi="Times New Roman" w:cs="Times New Roman"/>
          <w:sz w:val="28"/>
          <w:szCs w:val="28"/>
          <w:lang w:val="uk-UA"/>
        </w:rPr>
        <w:t xml:space="preserve">аргументацію щодо визначення об’єкту оподаткування у сфері справляння рентних платежів за використання надр </w:t>
      </w:r>
      <w:r w:rsidRPr="003C64CA">
        <w:rPr>
          <w:rFonts w:ascii="Times New Roman" w:hAnsi="Times New Roman" w:cs="Times New Roman"/>
          <w:color w:val="000000"/>
          <w:sz w:val="28"/>
          <w:szCs w:val="28"/>
          <w:lang w:val="uk-UA"/>
        </w:rPr>
        <w:t>як сукупності видобутих корисних копалин (чи мінеральної сировини) в цілому, так і тих природних ресурсів, що пройшли етап первинної переробки (збагачення), що має розумітися  як товарна продукція</w:t>
      </w:r>
      <w:r w:rsidRPr="003C64CA">
        <w:rPr>
          <w:rFonts w:ascii="Times New Roman" w:hAnsi="Times New Roman" w:cs="Times New Roman"/>
          <w:sz w:val="28"/>
          <w:szCs w:val="28"/>
          <w:lang w:val="uk-UA"/>
        </w:rPr>
        <w:t>;</w:t>
      </w:r>
    </w:p>
    <w:p w:rsidR="00387492" w:rsidRPr="003C64CA" w:rsidRDefault="003C64CA" w:rsidP="003C64CA">
      <w:pPr>
        <w:pStyle w:val="body"/>
        <w:numPr>
          <w:ilvl w:val="0"/>
          <w:numId w:val="4"/>
        </w:numPr>
        <w:spacing w:before="0" w:beforeAutospacing="0" w:after="0" w:afterAutospacing="0"/>
        <w:ind w:left="0" w:firstLine="709"/>
        <w:jc w:val="both"/>
        <w:textAlignment w:val="baseline"/>
        <w:rPr>
          <w:sz w:val="28"/>
          <w:szCs w:val="28"/>
          <w:lang w:val="uk-UA"/>
        </w:rPr>
      </w:pPr>
      <w:r w:rsidRPr="003C64CA">
        <w:rPr>
          <w:sz w:val="28"/>
          <w:szCs w:val="28"/>
          <w:lang w:val="uk-UA"/>
        </w:rPr>
        <w:t xml:space="preserve">дістали подальшої розробки </w:t>
      </w:r>
      <w:r w:rsidR="00387492" w:rsidRPr="003C64CA">
        <w:rPr>
          <w:sz w:val="28"/>
          <w:szCs w:val="28"/>
          <w:lang w:val="uk-UA"/>
        </w:rPr>
        <w:t xml:space="preserve">наукові підходи до визначення сутності функції соціальної відповідальності платників </w:t>
      </w:r>
      <w:proofErr w:type="spellStart"/>
      <w:r w:rsidR="00387492" w:rsidRPr="003C64CA">
        <w:rPr>
          <w:sz w:val="28"/>
          <w:szCs w:val="28"/>
          <w:lang w:val="uk-UA"/>
        </w:rPr>
        <w:t>природоресурсної</w:t>
      </w:r>
      <w:proofErr w:type="spellEnd"/>
      <w:r w:rsidR="00387492" w:rsidRPr="003C64CA">
        <w:rPr>
          <w:sz w:val="28"/>
          <w:szCs w:val="28"/>
          <w:lang w:val="uk-UA"/>
        </w:rPr>
        <w:t xml:space="preserve"> </w:t>
      </w:r>
      <w:r w:rsidR="00387492" w:rsidRPr="003C64CA">
        <w:rPr>
          <w:sz w:val="28"/>
          <w:szCs w:val="28"/>
          <w:lang w:val="uk-UA"/>
        </w:rPr>
        <w:lastRenderedPageBreak/>
        <w:t>ренти та держави щодо акумуляції та справляння загальнообов’язкових платежів за користування надрами</w:t>
      </w:r>
      <w:r>
        <w:rPr>
          <w:sz w:val="28"/>
          <w:szCs w:val="28"/>
          <w:lang w:val="uk-UA"/>
        </w:rPr>
        <w:t>.</w:t>
      </w:r>
    </w:p>
    <w:p w:rsidR="000C6A7A" w:rsidRPr="005A28B9" w:rsidRDefault="000C6A7A" w:rsidP="00121AD4">
      <w:pPr>
        <w:pStyle w:val="a4"/>
        <w:widowControl/>
        <w:spacing w:line="240" w:lineRule="auto"/>
        <w:ind w:firstLine="0"/>
        <w:rPr>
          <w:rFonts w:eastAsia="Symbol"/>
          <w:spacing w:val="-4"/>
          <w:szCs w:val="28"/>
          <w:lang w:val="uk-UA"/>
        </w:rPr>
      </w:pPr>
    </w:p>
    <w:p w:rsidR="00F64FB3" w:rsidRPr="005A28B9" w:rsidRDefault="00F64FB3" w:rsidP="005A28B9">
      <w:pPr>
        <w:pStyle w:val="a4"/>
        <w:widowControl/>
        <w:spacing w:line="240" w:lineRule="auto"/>
        <w:ind w:firstLine="709"/>
        <w:rPr>
          <w:rFonts w:eastAsia="Symbol"/>
          <w:b/>
          <w:spacing w:val="-4"/>
          <w:szCs w:val="28"/>
          <w:lang w:val="uk-UA"/>
        </w:rPr>
      </w:pPr>
      <w:r w:rsidRPr="005A28B9">
        <w:rPr>
          <w:rFonts w:eastAsia="Symbol"/>
          <w:b/>
          <w:spacing w:val="-4"/>
          <w:szCs w:val="28"/>
          <w:lang w:val="uk-UA"/>
        </w:rPr>
        <w:t xml:space="preserve">Практичні результати роботи полягають у наступному: </w:t>
      </w:r>
    </w:p>
    <w:p w:rsidR="00F64FB3" w:rsidRPr="007E627C" w:rsidRDefault="000C6A7A" w:rsidP="005A28B9">
      <w:pPr>
        <w:pStyle w:val="a4"/>
        <w:widowControl/>
        <w:spacing w:line="240" w:lineRule="auto"/>
        <w:ind w:firstLine="709"/>
        <w:rPr>
          <w:lang w:val="uk-UA"/>
        </w:rPr>
      </w:pPr>
      <w:r w:rsidRPr="005A28B9">
        <w:rPr>
          <w:rFonts w:eastAsia="Symbol"/>
          <w:szCs w:val="28"/>
          <w:lang w:val="uk-UA"/>
        </w:rPr>
        <w:t xml:space="preserve">1. </w:t>
      </w:r>
      <w:r w:rsidR="003C64CA">
        <w:rPr>
          <w:szCs w:val="28"/>
          <w:lang w:val="uk-UA"/>
        </w:rPr>
        <w:t>О</w:t>
      </w:r>
      <w:r w:rsidR="003C64CA" w:rsidRPr="003C64CA">
        <w:rPr>
          <w:szCs w:val="28"/>
          <w:lang w:val="uk-UA"/>
        </w:rPr>
        <w:t xml:space="preserve">бґрунтовано пропозиції щодо внесення змін до Кодексу України про надра, Податкового кодексу України, Бюджетного кодексу України, Закону України «Про судовий збір», а також до низки підзаконних актів із досліджуваної проблематики з використанням сучасної методології юридичної техніки з метою вдосконалення правового регулювання правовідносин щодо забезпечення ефективності механізму відповідності держави у сфері справляння рентних платежів за використання надр. </w:t>
      </w:r>
    </w:p>
    <w:p w:rsidR="00F64FB3" w:rsidRPr="005A28B9" w:rsidRDefault="003C64CA" w:rsidP="003C64CA">
      <w:pPr>
        <w:pStyle w:val="a4"/>
        <w:widowControl/>
        <w:spacing w:line="240" w:lineRule="auto"/>
        <w:ind w:firstLine="709"/>
      </w:pPr>
      <w:r>
        <w:rPr>
          <w:rFonts w:eastAsia="Symbol"/>
          <w:szCs w:val="28"/>
        </w:rPr>
        <w:t>2.</w:t>
      </w:r>
      <w:r w:rsidR="000C6A7A" w:rsidRPr="005A28B9">
        <w:rPr>
          <w:rFonts w:eastAsia="Symbol"/>
          <w:szCs w:val="28"/>
          <w:lang w:val="uk-UA"/>
        </w:rPr>
        <w:t xml:space="preserve"> О</w:t>
      </w:r>
      <w:r w:rsidR="00F64FB3" w:rsidRPr="005A28B9">
        <w:rPr>
          <w:rFonts w:eastAsia="Symbol"/>
          <w:szCs w:val="28"/>
          <w:lang w:val="uk-UA"/>
        </w:rPr>
        <w:t xml:space="preserve">тримані в роботі результати можуть бути використані у </w:t>
      </w:r>
      <w:r>
        <w:rPr>
          <w:rFonts w:eastAsia="Symbol"/>
          <w:szCs w:val="28"/>
          <w:lang w:val="uk-UA"/>
        </w:rPr>
        <w:t>сфері правозастосування, зокрема, у діяльності органів надрового контролю та нагляду, у сфері правотворчості, зокрема, при розробці та внесенні змін до чинного та перспективного законодавства України, у сфері правової охорони суспільних відносин, зокрема, в процесі врегулювання публічно-правових спорів та приватно-правових спорів у сфері використання надр України</w:t>
      </w:r>
      <w:r w:rsidR="00F64FB3" w:rsidRPr="005A28B9">
        <w:rPr>
          <w:rFonts w:eastAsia="Symbol"/>
          <w:szCs w:val="28"/>
          <w:lang w:val="uk-UA"/>
        </w:rPr>
        <w:t>.</w:t>
      </w:r>
    </w:p>
    <w:p w:rsidR="00F64FB3" w:rsidRPr="005A28B9" w:rsidRDefault="00F64FB3" w:rsidP="005A28B9">
      <w:pPr>
        <w:pStyle w:val="a3"/>
        <w:widowControl/>
        <w:spacing w:line="240" w:lineRule="auto"/>
        <w:ind w:firstLine="709"/>
      </w:pPr>
    </w:p>
    <w:p w:rsidR="00F64FB3" w:rsidRDefault="00F64FB3" w:rsidP="005A28B9">
      <w:pPr>
        <w:pStyle w:val="a3"/>
        <w:widowControl/>
        <w:spacing w:line="240" w:lineRule="auto"/>
        <w:ind w:firstLine="709"/>
        <w:rPr>
          <w:szCs w:val="28"/>
          <w:lang w:val="uk-UA" w:eastAsia="uk-UA"/>
        </w:rPr>
      </w:pPr>
      <w:r w:rsidRPr="005A28B9">
        <w:rPr>
          <w:szCs w:val="28"/>
          <w:lang w:val="uk-UA"/>
        </w:rPr>
        <w:t xml:space="preserve">По дисертації </w:t>
      </w:r>
      <w:r w:rsidR="003C64CA">
        <w:rPr>
          <w:szCs w:val="28"/>
          <w:lang w:val="uk-UA"/>
        </w:rPr>
        <w:t>Борисенка А.О.</w:t>
      </w:r>
      <w:r w:rsidRPr="005A28B9">
        <w:rPr>
          <w:szCs w:val="28"/>
          <w:lang w:val="uk-UA"/>
        </w:rPr>
        <w:t xml:space="preserve"> були </w:t>
      </w:r>
      <w:r w:rsidRPr="005A28B9">
        <w:rPr>
          <w:szCs w:val="28"/>
          <w:lang w:val="uk-UA" w:eastAsia="uk-UA"/>
        </w:rPr>
        <w:t>відзначені кілька зауважень.</w:t>
      </w:r>
    </w:p>
    <w:p w:rsidR="000C6A7A" w:rsidRPr="005A28B9" w:rsidRDefault="000C6A7A" w:rsidP="00121AD4">
      <w:pPr>
        <w:pStyle w:val="a3"/>
        <w:widowControl/>
        <w:spacing w:line="240" w:lineRule="auto"/>
        <w:ind w:firstLine="0"/>
        <w:rPr>
          <w:szCs w:val="28"/>
          <w:lang w:val="uk-UA" w:eastAsia="uk-UA"/>
        </w:rPr>
      </w:pPr>
    </w:p>
    <w:p w:rsidR="00DE03A9" w:rsidRPr="003C64CA" w:rsidRDefault="000C6A7A" w:rsidP="005A28B9">
      <w:pPr>
        <w:pStyle w:val="a3"/>
        <w:widowControl/>
        <w:spacing w:line="240" w:lineRule="auto"/>
        <w:ind w:firstLine="709"/>
        <w:rPr>
          <w:szCs w:val="28"/>
          <w:lang w:val="uk-UA" w:eastAsia="uk-UA"/>
        </w:rPr>
      </w:pPr>
      <w:r w:rsidRPr="005A28B9">
        <w:rPr>
          <w:szCs w:val="28"/>
          <w:lang w:val="uk-UA" w:eastAsia="uk-UA"/>
        </w:rPr>
        <w:t xml:space="preserve">1. </w:t>
      </w:r>
      <w:r w:rsidR="003C64CA">
        <w:rPr>
          <w:szCs w:val="28"/>
        </w:rPr>
        <w:t xml:space="preserve">Для </w:t>
      </w:r>
      <w:proofErr w:type="spellStart"/>
      <w:r w:rsidR="003C64CA">
        <w:rPr>
          <w:szCs w:val="28"/>
        </w:rPr>
        <w:t>повноти</w:t>
      </w:r>
      <w:proofErr w:type="spellEnd"/>
      <w:r w:rsidR="003C64CA">
        <w:rPr>
          <w:szCs w:val="28"/>
        </w:rPr>
        <w:t xml:space="preserve"> </w:t>
      </w:r>
      <w:proofErr w:type="spellStart"/>
      <w:r w:rsidR="003C64CA">
        <w:rPr>
          <w:szCs w:val="28"/>
        </w:rPr>
        <w:t>розкриття</w:t>
      </w:r>
      <w:proofErr w:type="spellEnd"/>
      <w:r w:rsidR="003C64CA" w:rsidRPr="00E03E64">
        <w:rPr>
          <w:szCs w:val="28"/>
        </w:rPr>
        <w:t xml:space="preserve"> </w:t>
      </w:r>
      <w:r w:rsidR="003C64CA">
        <w:rPr>
          <w:szCs w:val="28"/>
        </w:rPr>
        <w:t xml:space="preserve">предмета </w:t>
      </w:r>
      <w:proofErr w:type="spellStart"/>
      <w:r w:rsidR="003C64CA">
        <w:rPr>
          <w:szCs w:val="28"/>
        </w:rPr>
        <w:t>дослідження</w:t>
      </w:r>
      <w:proofErr w:type="spellEnd"/>
      <w:r w:rsidR="003C64CA">
        <w:rPr>
          <w:szCs w:val="28"/>
        </w:rPr>
        <w:t xml:space="preserve"> </w:t>
      </w:r>
      <w:proofErr w:type="spellStart"/>
      <w:r w:rsidR="003C64CA">
        <w:rPr>
          <w:szCs w:val="28"/>
        </w:rPr>
        <w:t>н</w:t>
      </w:r>
      <w:r w:rsidR="003C64CA" w:rsidRPr="00E7274D">
        <w:rPr>
          <w:szCs w:val="28"/>
        </w:rPr>
        <w:t>еобхідно</w:t>
      </w:r>
      <w:proofErr w:type="spellEnd"/>
      <w:r w:rsidR="003C64CA" w:rsidRPr="00E7274D">
        <w:rPr>
          <w:szCs w:val="28"/>
        </w:rPr>
        <w:t xml:space="preserve"> </w:t>
      </w:r>
      <w:proofErr w:type="spellStart"/>
      <w:r w:rsidR="003C64CA" w:rsidRPr="00E7274D">
        <w:rPr>
          <w:szCs w:val="28"/>
        </w:rPr>
        <w:t>було</w:t>
      </w:r>
      <w:proofErr w:type="spellEnd"/>
      <w:r w:rsidR="003C64CA" w:rsidRPr="00E7274D">
        <w:rPr>
          <w:szCs w:val="28"/>
        </w:rPr>
        <w:t xml:space="preserve"> </w:t>
      </w:r>
      <w:proofErr w:type="spellStart"/>
      <w:r w:rsidR="003C64CA">
        <w:rPr>
          <w:szCs w:val="28"/>
        </w:rPr>
        <w:t>висвітлити</w:t>
      </w:r>
      <w:proofErr w:type="spellEnd"/>
      <w:r w:rsidR="003C64CA" w:rsidRPr="00E7274D">
        <w:rPr>
          <w:szCs w:val="28"/>
        </w:rPr>
        <w:t xml:space="preserve"> </w:t>
      </w:r>
      <w:r w:rsidR="003C64CA">
        <w:rPr>
          <w:szCs w:val="28"/>
        </w:rPr>
        <w:t xml:space="preserve">стан </w:t>
      </w:r>
      <w:proofErr w:type="spellStart"/>
      <w:r w:rsidR="003C64CA">
        <w:rPr>
          <w:szCs w:val="28"/>
        </w:rPr>
        <w:t>забезпечення</w:t>
      </w:r>
      <w:proofErr w:type="spellEnd"/>
      <w:r w:rsidR="003C64CA">
        <w:rPr>
          <w:szCs w:val="28"/>
        </w:rPr>
        <w:t xml:space="preserve"> </w:t>
      </w:r>
      <w:proofErr w:type="spellStart"/>
      <w:r w:rsidR="003C64CA">
        <w:rPr>
          <w:szCs w:val="28"/>
        </w:rPr>
        <w:t>екологічних</w:t>
      </w:r>
      <w:proofErr w:type="spellEnd"/>
      <w:r w:rsidR="003C64CA">
        <w:rPr>
          <w:szCs w:val="28"/>
        </w:rPr>
        <w:t xml:space="preserve"> прав </w:t>
      </w:r>
      <w:proofErr w:type="spellStart"/>
      <w:r w:rsidR="003C64CA">
        <w:rPr>
          <w:szCs w:val="28"/>
        </w:rPr>
        <w:t>людини</w:t>
      </w:r>
      <w:proofErr w:type="spellEnd"/>
      <w:r w:rsidR="003C64CA">
        <w:rPr>
          <w:szCs w:val="28"/>
        </w:rPr>
        <w:t xml:space="preserve"> на </w:t>
      </w:r>
      <w:proofErr w:type="spellStart"/>
      <w:r w:rsidR="003C64CA">
        <w:rPr>
          <w:szCs w:val="28"/>
        </w:rPr>
        <w:t>безпечне</w:t>
      </w:r>
      <w:proofErr w:type="spellEnd"/>
      <w:r w:rsidR="003C64CA">
        <w:rPr>
          <w:szCs w:val="28"/>
        </w:rPr>
        <w:t xml:space="preserve"> </w:t>
      </w:r>
      <w:proofErr w:type="spellStart"/>
      <w:r w:rsidR="003C64CA">
        <w:rPr>
          <w:szCs w:val="28"/>
        </w:rPr>
        <w:t>навколишнє</w:t>
      </w:r>
      <w:proofErr w:type="spellEnd"/>
      <w:r w:rsidR="003C64CA">
        <w:rPr>
          <w:szCs w:val="28"/>
        </w:rPr>
        <w:t xml:space="preserve"> </w:t>
      </w:r>
      <w:proofErr w:type="spellStart"/>
      <w:r w:rsidR="003C64CA">
        <w:rPr>
          <w:szCs w:val="28"/>
        </w:rPr>
        <w:t>природне</w:t>
      </w:r>
      <w:proofErr w:type="spellEnd"/>
      <w:r w:rsidR="003C64CA">
        <w:rPr>
          <w:szCs w:val="28"/>
        </w:rPr>
        <w:t xml:space="preserve"> </w:t>
      </w:r>
      <w:proofErr w:type="spellStart"/>
      <w:r w:rsidR="003C64CA">
        <w:rPr>
          <w:szCs w:val="28"/>
        </w:rPr>
        <w:t>середовище</w:t>
      </w:r>
      <w:proofErr w:type="spellEnd"/>
      <w:r w:rsidR="003C64CA">
        <w:rPr>
          <w:szCs w:val="28"/>
        </w:rPr>
        <w:t xml:space="preserve"> в </w:t>
      </w:r>
      <w:proofErr w:type="spellStart"/>
      <w:r w:rsidR="003C64CA">
        <w:rPr>
          <w:szCs w:val="28"/>
        </w:rPr>
        <w:t>Україні</w:t>
      </w:r>
      <w:proofErr w:type="spellEnd"/>
      <w:r w:rsidR="003C64CA">
        <w:rPr>
          <w:szCs w:val="28"/>
          <w:lang w:val="uk-UA"/>
        </w:rPr>
        <w:t>;</w:t>
      </w:r>
    </w:p>
    <w:p w:rsidR="000C6A7A" w:rsidRDefault="000C6A7A" w:rsidP="005A28B9">
      <w:pPr>
        <w:pStyle w:val="a3"/>
        <w:widowControl/>
        <w:spacing w:line="240" w:lineRule="auto"/>
        <w:ind w:firstLine="709"/>
        <w:rPr>
          <w:szCs w:val="28"/>
          <w:lang w:val="uk-UA" w:eastAsia="uk-UA"/>
        </w:rPr>
      </w:pPr>
      <w:r w:rsidRPr="005A28B9">
        <w:rPr>
          <w:szCs w:val="28"/>
          <w:lang w:val="uk-UA" w:eastAsia="uk-UA"/>
        </w:rPr>
        <w:t xml:space="preserve">2. </w:t>
      </w:r>
      <w:r w:rsidR="003C64CA">
        <w:rPr>
          <w:szCs w:val="28"/>
          <w:lang w:val="uk-UA"/>
        </w:rPr>
        <w:t>А</w:t>
      </w:r>
      <w:r w:rsidR="003C64CA" w:rsidRPr="00DC65A6">
        <w:rPr>
          <w:szCs w:val="28"/>
          <w:lang w:val="uk-UA"/>
        </w:rPr>
        <w:t xml:space="preserve">втору необхідно було б </w:t>
      </w:r>
      <w:r w:rsidR="003C64CA">
        <w:rPr>
          <w:szCs w:val="28"/>
          <w:lang w:val="uk-UA"/>
        </w:rPr>
        <w:t>на рівні окремого підрозділу визначити особливості реалізації регіональної екологічної політики у сфері використання надр в Дніпропетровській та Запорізькій областях України</w:t>
      </w:r>
      <w:r w:rsidR="003C64CA">
        <w:rPr>
          <w:szCs w:val="28"/>
          <w:lang w:val="uk-UA" w:eastAsia="uk-UA"/>
        </w:rPr>
        <w:t>;</w:t>
      </w:r>
    </w:p>
    <w:p w:rsidR="003C64CA" w:rsidRDefault="003C64CA" w:rsidP="005A28B9">
      <w:pPr>
        <w:pStyle w:val="a3"/>
        <w:widowControl/>
        <w:spacing w:line="240" w:lineRule="auto"/>
        <w:ind w:firstLine="709"/>
        <w:rPr>
          <w:szCs w:val="28"/>
          <w:lang w:val="uk-UA"/>
        </w:rPr>
      </w:pPr>
      <w:r>
        <w:rPr>
          <w:szCs w:val="28"/>
          <w:lang w:val="uk-UA" w:eastAsia="uk-UA"/>
        </w:rPr>
        <w:t>3. </w:t>
      </w:r>
      <w:r>
        <w:rPr>
          <w:szCs w:val="28"/>
          <w:lang w:val="uk-UA"/>
        </w:rPr>
        <w:t>У змісті дисертації використовуються категорії «техногенно-мінеральні утворення», «техногенно перспективний об’єкт», при цьому не визначено критерії їх співвідношення з категорією «техногенне родовище», особливості режиму їх використання відповідно до чинного законодавства України;</w:t>
      </w:r>
    </w:p>
    <w:p w:rsidR="003C64CA" w:rsidRDefault="003C64CA" w:rsidP="005A28B9">
      <w:pPr>
        <w:pStyle w:val="a3"/>
        <w:widowControl/>
        <w:spacing w:line="240" w:lineRule="auto"/>
        <w:ind w:firstLine="709"/>
        <w:rPr>
          <w:szCs w:val="28"/>
          <w:lang w:val="uk-UA"/>
        </w:rPr>
      </w:pPr>
      <w:r>
        <w:rPr>
          <w:szCs w:val="28"/>
          <w:lang w:val="uk-UA" w:eastAsia="uk-UA"/>
        </w:rPr>
        <w:t xml:space="preserve">4. </w:t>
      </w:r>
      <w:r w:rsidRPr="00646193">
        <w:rPr>
          <w:szCs w:val="28"/>
          <w:lang w:val="uk-UA"/>
        </w:rPr>
        <w:t>З урахуванням Євроінтеграційних перспектив нашої держави слід було приділити більше уваги проблематиці розвитку саме цього вектору розвитку в представленій роботі</w:t>
      </w:r>
      <w:r>
        <w:rPr>
          <w:szCs w:val="28"/>
          <w:lang w:val="uk-UA"/>
        </w:rPr>
        <w:t xml:space="preserve">; </w:t>
      </w:r>
    </w:p>
    <w:p w:rsidR="00A36D0B" w:rsidRDefault="00A36D0B" w:rsidP="005A28B9">
      <w:pPr>
        <w:pStyle w:val="a3"/>
        <w:widowControl/>
        <w:spacing w:line="240" w:lineRule="auto"/>
        <w:ind w:firstLine="709"/>
        <w:rPr>
          <w:szCs w:val="28"/>
          <w:lang w:val="uk-UA"/>
        </w:rPr>
      </w:pPr>
      <w:r>
        <w:rPr>
          <w:szCs w:val="28"/>
          <w:lang w:val="uk-UA"/>
        </w:rPr>
        <w:t xml:space="preserve">5. Робота вимагає посилення емпіричної бази дослідження </w:t>
      </w:r>
      <w:proofErr w:type="spellStart"/>
      <w:r>
        <w:rPr>
          <w:szCs w:val="28"/>
          <w:lang w:val="uk-UA"/>
        </w:rPr>
        <w:t>ща</w:t>
      </w:r>
      <w:proofErr w:type="spellEnd"/>
      <w:r>
        <w:rPr>
          <w:szCs w:val="28"/>
          <w:lang w:val="uk-UA"/>
        </w:rPr>
        <w:t xml:space="preserve"> рахунок здійснення </w:t>
      </w:r>
      <w:r w:rsidRPr="00A36D0B">
        <w:rPr>
          <w:szCs w:val="28"/>
          <w:lang w:val="uk-UA"/>
        </w:rPr>
        <w:t>авторського соціологічного дослідження</w:t>
      </w:r>
      <w:r>
        <w:rPr>
          <w:szCs w:val="28"/>
          <w:lang w:val="uk-UA"/>
        </w:rPr>
        <w:t xml:space="preserve"> досліджуваного предмету дослідження;</w:t>
      </w:r>
    </w:p>
    <w:p w:rsidR="00A36D0B" w:rsidRDefault="00A36D0B" w:rsidP="005A28B9">
      <w:pPr>
        <w:pStyle w:val="a3"/>
        <w:widowControl/>
        <w:spacing w:line="240" w:lineRule="auto"/>
        <w:ind w:firstLine="709"/>
        <w:rPr>
          <w:szCs w:val="28"/>
          <w:lang w:val="uk-UA"/>
        </w:rPr>
      </w:pPr>
      <w:r>
        <w:rPr>
          <w:szCs w:val="28"/>
          <w:lang w:val="uk-UA"/>
        </w:rPr>
        <w:t>6. П</w:t>
      </w:r>
      <w:r w:rsidRPr="00376366">
        <w:rPr>
          <w:szCs w:val="28"/>
          <w:lang w:val="uk-UA"/>
        </w:rPr>
        <w:t xml:space="preserve">ри </w:t>
      </w:r>
      <w:r>
        <w:rPr>
          <w:szCs w:val="28"/>
          <w:lang w:val="uk-UA"/>
        </w:rPr>
        <w:t>визначенні особливостей правового регулювання адміністративних процедур у сфері використання надр недостатньо уваги присвячено проблемі подолання корупційних проявів у прийнятті управлінських рішень органами державної виконавчої влади та місцевого самоврядування;</w:t>
      </w:r>
    </w:p>
    <w:p w:rsidR="00A36D0B" w:rsidRPr="005A28B9" w:rsidRDefault="00A36D0B" w:rsidP="005A28B9">
      <w:pPr>
        <w:pStyle w:val="a3"/>
        <w:widowControl/>
        <w:spacing w:line="240" w:lineRule="auto"/>
        <w:ind w:firstLine="709"/>
        <w:rPr>
          <w:szCs w:val="28"/>
          <w:lang w:val="uk-UA" w:eastAsia="uk-UA"/>
        </w:rPr>
      </w:pPr>
      <w:r>
        <w:rPr>
          <w:szCs w:val="28"/>
          <w:lang w:val="uk-UA"/>
        </w:rPr>
        <w:t>7. </w:t>
      </w:r>
      <w:r>
        <w:rPr>
          <w:spacing w:val="-7"/>
          <w:szCs w:val="28"/>
          <w:lang w:val="uk-UA"/>
        </w:rPr>
        <w:t>Автором дисертації поверхово розглядається питання реалізації участі громадськості у сфері забезпечення контролю за використанням надр</w:t>
      </w:r>
      <w:r>
        <w:rPr>
          <w:szCs w:val="28"/>
          <w:lang w:val="uk-UA"/>
        </w:rPr>
        <w:t>.</w:t>
      </w:r>
    </w:p>
    <w:p w:rsidR="00DE03A9" w:rsidRPr="005A28B9" w:rsidRDefault="00DE03A9" w:rsidP="00A36D0B">
      <w:pPr>
        <w:pStyle w:val="HTML"/>
        <w:shd w:val="clear" w:color="auto" w:fill="F8F9FA"/>
        <w:ind w:firstLine="709"/>
        <w:jc w:val="both"/>
        <w:rPr>
          <w:szCs w:val="28"/>
          <w:lang w:val="uk-UA" w:eastAsia="uk-UA"/>
        </w:rPr>
      </w:pPr>
    </w:p>
    <w:p w:rsidR="00403AB1" w:rsidRPr="00094082" w:rsidRDefault="00F020A7" w:rsidP="00094082">
      <w:pPr>
        <w:jc w:val="both"/>
        <w:rPr>
          <w:b/>
          <w:i/>
          <w:lang w:val="uk-UA"/>
        </w:rPr>
      </w:pPr>
      <w:bookmarkStart w:id="0" w:name="_GoBack"/>
      <w:bookmarkEnd w:id="0"/>
      <w:r>
        <w:rPr>
          <w:b/>
          <w:i/>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25pt;height:642.75pt">
            <v:imagedata r:id="rId6" o:title="висновок 2"/>
          </v:shape>
        </w:pict>
      </w:r>
    </w:p>
    <w:sectPr w:rsidR="00403AB1" w:rsidRPr="00094082" w:rsidSect="007A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7BE"/>
    <w:multiLevelType w:val="multilevel"/>
    <w:tmpl w:val="1902D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895ACD"/>
    <w:multiLevelType w:val="hybridMultilevel"/>
    <w:tmpl w:val="462422EE"/>
    <w:lvl w:ilvl="0" w:tplc="27207D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CE1E70"/>
    <w:multiLevelType w:val="hybridMultilevel"/>
    <w:tmpl w:val="BD62CAFA"/>
    <w:lvl w:ilvl="0" w:tplc="341A3736">
      <w:start w:val="1"/>
      <w:numFmt w:val="bullet"/>
      <w:lvlText w:val="—"/>
      <w:lvlJc w:val="left"/>
      <w:pPr>
        <w:ind w:left="1202" w:hanging="360"/>
      </w:pPr>
      <w:rPr>
        <w:rFonts w:ascii="Courier New" w:hAnsi="Courier New" w:cs="Times New Roman" w:hint="default"/>
        <w:color w:val="000000"/>
      </w:rPr>
    </w:lvl>
    <w:lvl w:ilvl="1" w:tplc="04190003">
      <w:start w:val="1"/>
      <w:numFmt w:val="bullet"/>
      <w:lvlText w:val="o"/>
      <w:lvlJc w:val="left"/>
      <w:pPr>
        <w:ind w:left="1922" w:hanging="360"/>
      </w:pPr>
      <w:rPr>
        <w:rFonts w:ascii="Courier New" w:hAnsi="Courier New" w:cs="Times New Roman"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Times New Roman"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Times New Roman" w:hint="default"/>
      </w:rPr>
    </w:lvl>
    <w:lvl w:ilvl="8" w:tplc="04190005">
      <w:start w:val="1"/>
      <w:numFmt w:val="bullet"/>
      <w:lvlText w:val=""/>
      <w:lvlJc w:val="left"/>
      <w:pPr>
        <w:ind w:left="6962" w:hanging="360"/>
      </w:pPr>
      <w:rPr>
        <w:rFonts w:ascii="Wingdings" w:hAnsi="Wingdings" w:hint="default"/>
      </w:rPr>
    </w:lvl>
  </w:abstractNum>
  <w:abstractNum w:abstractNumId="3" w15:restartNumberingAfterBreak="0">
    <w:nsid w:val="5A180DA7"/>
    <w:multiLevelType w:val="hybridMultilevel"/>
    <w:tmpl w:val="B5F06AE2"/>
    <w:lvl w:ilvl="0" w:tplc="3DD44AA2">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82"/>
    <w:rsid w:val="00094082"/>
    <w:rsid w:val="000A028C"/>
    <w:rsid w:val="000C6A7A"/>
    <w:rsid w:val="00121AD4"/>
    <w:rsid w:val="001C4AAD"/>
    <w:rsid w:val="00387492"/>
    <w:rsid w:val="00391AE6"/>
    <w:rsid w:val="003C64CA"/>
    <w:rsid w:val="00403AB1"/>
    <w:rsid w:val="0053189F"/>
    <w:rsid w:val="005A28B9"/>
    <w:rsid w:val="005C5F01"/>
    <w:rsid w:val="006D088B"/>
    <w:rsid w:val="00730A60"/>
    <w:rsid w:val="007A20CD"/>
    <w:rsid w:val="007E627C"/>
    <w:rsid w:val="008363FD"/>
    <w:rsid w:val="008C5C7C"/>
    <w:rsid w:val="00A36D0B"/>
    <w:rsid w:val="00A65CD1"/>
    <w:rsid w:val="00C12FA6"/>
    <w:rsid w:val="00C90C16"/>
    <w:rsid w:val="00DE03A9"/>
    <w:rsid w:val="00EB1B9B"/>
    <w:rsid w:val="00EB23A6"/>
    <w:rsid w:val="00F020A7"/>
    <w:rsid w:val="00F64FB3"/>
    <w:rsid w:val="00F9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C632"/>
  <w15:docId w15:val="{409D97FD-EDC9-47F3-9FAB-762B3E10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ный"/>
    <w:basedOn w:val="a"/>
    <w:link w:val="1"/>
    <w:rsid w:val="00391AE6"/>
    <w:pPr>
      <w:widowControl w:val="0"/>
      <w:spacing w:after="0" w:line="360" w:lineRule="auto"/>
      <w:ind w:firstLine="680"/>
      <w:jc w:val="both"/>
    </w:pPr>
    <w:rPr>
      <w:rFonts w:ascii="Times New Roman" w:eastAsia="Times New Roman" w:hAnsi="Times New Roman" w:cs="Times New Roman"/>
      <w:sz w:val="28"/>
      <w:szCs w:val="20"/>
    </w:rPr>
  </w:style>
  <w:style w:type="character" w:customStyle="1" w:styleId="1">
    <w:name w:val="Абзацный Знак1"/>
    <w:basedOn w:val="a0"/>
    <w:link w:val="a3"/>
    <w:rsid w:val="00391AE6"/>
    <w:rPr>
      <w:rFonts w:ascii="Times New Roman" w:eastAsia="Times New Roman" w:hAnsi="Times New Roman" w:cs="Times New Roman"/>
      <w:sz w:val="28"/>
      <w:szCs w:val="20"/>
    </w:rPr>
  </w:style>
  <w:style w:type="paragraph" w:styleId="HTML">
    <w:name w:val="HTML Preformatted"/>
    <w:basedOn w:val="a"/>
    <w:link w:val="HTML0"/>
    <w:uiPriority w:val="99"/>
    <w:rsid w:val="00F64FB3"/>
    <w:pPr>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F64FB3"/>
    <w:rPr>
      <w:rFonts w:ascii="Courier New" w:eastAsia="Times New Roman" w:hAnsi="Courier New" w:cs="Courier New"/>
      <w:sz w:val="20"/>
      <w:szCs w:val="20"/>
      <w:lang w:eastAsia="zh-CN"/>
    </w:rPr>
  </w:style>
  <w:style w:type="paragraph" w:customStyle="1" w:styleId="a4">
    <w:name w:val="Абзацный маркированный"/>
    <w:basedOn w:val="a3"/>
    <w:rsid w:val="00F64FB3"/>
    <w:pPr>
      <w:suppressAutoHyphens/>
      <w:ind w:firstLine="720"/>
    </w:pPr>
    <w:rPr>
      <w:lang w:eastAsia="zh-CN"/>
    </w:rPr>
  </w:style>
  <w:style w:type="paragraph" w:customStyle="1" w:styleId="a5">
    <w:name w:val="Абзацный без нумерации"/>
    <w:rsid w:val="00F64FB3"/>
    <w:pPr>
      <w:widowControl w:val="0"/>
      <w:tabs>
        <w:tab w:val="left" w:pos="993"/>
      </w:tabs>
      <w:suppressAutoHyphens/>
      <w:autoSpaceDE w:val="0"/>
      <w:spacing w:after="0" w:line="360" w:lineRule="auto"/>
      <w:ind w:firstLine="720"/>
      <w:jc w:val="both"/>
    </w:pPr>
    <w:rPr>
      <w:rFonts w:ascii="Times New Roman" w:eastAsia="Times New Roman" w:hAnsi="Times New Roman" w:cs="Times New Roman"/>
      <w:sz w:val="28"/>
      <w:szCs w:val="28"/>
      <w:lang w:val="uk-UA" w:eastAsia="zh-CN"/>
    </w:rPr>
  </w:style>
  <w:style w:type="paragraph" w:customStyle="1" w:styleId="a6">
    <w:name w:val="Город"/>
    <w:basedOn w:val="a"/>
    <w:rsid w:val="00F64FB3"/>
    <w:pPr>
      <w:tabs>
        <w:tab w:val="num" w:pos="720"/>
      </w:tabs>
      <w:suppressAutoHyphens/>
      <w:spacing w:before="2400" w:after="0" w:line="240" w:lineRule="auto"/>
      <w:ind w:left="851" w:right="851" w:hanging="720"/>
      <w:jc w:val="center"/>
    </w:pPr>
    <w:rPr>
      <w:rFonts w:ascii="Times New Roman" w:eastAsia="Times New Roman" w:hAnsi="Times New Roman" w:cs="Times New Roman"/>
      <w:b/>
      <w:sz w:val="28"/>
      <w:szCs w:val="20"/>
      <w:lang w:val="uk-UA" w:eastAsia="zh-CN"/>
    </w:rPr>
  </w:style>
  <w:style w:type="character" w:customStyle="1" w:styleId="y2iqfc">
    <w:name w:val="y2iqfc"/>
    <w:basedOn w:val="a0"/>
    <w:rsid w:val="0053189F"/>
  </w:style>
  <w:style w:type="paragraph" w:styleId="a7">
    <w:name w:val="Body Text"/>
    <w:basedOn w:val="a"/>
    <w:link w:val="a8"/>
    <w:uiPriority w:val="1"/>
    <w:qFormat/>
    <w:rsid w:val="00387492"/>
    <w:pPr>
      <w:widowControl w:val="0"/>
      <w:autoSpaceDE w:val="0"/>
      <w:autoSpaceDN w:val="0"/>
      <w:adjustRightInd w:val="0"/>
      <w:spacing w:after="120" w:line="242" w:lineRule="auto"/>
      <w:ind w:firstLine="680"/>
      <w:jc w:val="both"/>
    </w:pPr>
    <w:rPr>
      <w:rFonts w:ascii="Times New Roman" w:eastAsia="Times New Roman" w:hAnsi="Times New Roman" w:cs="Times New Roman"/>
      <w:color w:val="000000"/>
      <w:spacing w:val="-6"/>
      <w:sz w:val="28"/>
      <w:szCs w:val="28"/>
      <w:lang w:val="uk-UA"/>
    </w:rPr>
  </w:style>
  <w:style w:type="character" w:customStyle="1" w:styleId="a8">
    <w:name w:val="Основной текст Знак"/>
    <w:basedOn w:val="a0"/>
    <w:link w:val="a7"/>
    <w:uiPriority w:val="1"/>
    <w:rsid w:val="00387492"/>
    <w:rPr>
      <w:rFonts w:ascii="Times New Roman" w:eastAsia="Times New Roman" w:hAnsi="Times New Roman" w:cs="Times New Roman"/>
      <w:color w:val="000000"/>
      <w:spacing w:val="-6"/>
      <w:sz w:val="28"/>
      <w:szCs w:val="28"/>
      <w:lang w:val="uk-UA"/>
    </w:rPr>
  </w:style>
  <w:style w:type="character" w:customStyle="1" w:styleId="apple-converted-space">
    <w:name w:val="apple-converted-space"/>
    <w:basedOn w:val="a0"/>
    <w:rsid w:val="00387492"/>
  </w:style>
  <w:style w:type="paragraph" w:styleId="a9">
    <w:name w:val="Normal (Web)"/>
    <w:basedOn w:val="a"/>
    <w:uiPriority w:val="99"/>
    <w:rsid w:val="0038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8749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a">
    <w:name w:val="Основной текст_"/>
    <w:link w:val="2"/>
    <w:rsid w:val="00387492"/>
    <w:rPr>
      <w:rFonts w:eastAsia="Times New Roman"/>
      <w:sz w:val="27"/>
      <w:szCs w:val="27"/>
      <w:shd w:val="clear" w:color="auto" w:fill="FFFFFF"/>
    </w:rPr>
  </w:style>
  <w:style w:type="paragraph" w:customStyle="1" w:styleId="2">
    <w:name w:val="Основной текст2"/>
    <w:basedOn w:val="a"/>
    <w:link w:val="aa"/>
    <w:rsid w:val="00387492"/>
    <w:pPr>
      <w:widowControl w:val="0"/>
      <w:shd w:val="clear" w:color="auto" w:fill="FFFFFF"/>
      <w:spacing w:after="960" w:line="0" w:lineRule="atLeast"/>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wer1</dc:creator>
  <cp:lastModifiedBy>Admin</cp:lastModifiedBy>
  <cp:revision>2</cp:revision>
  <dcterms:created xsi:type="dcterms:W3CDTF">2022-04-14T06:58:00Z</dcterms:created>
  <dcterms:modified xsi:type="dcterms:W3CDTF">2022-04-14T06:58:00Z</dcterms:modified>
</cp:coreProperties>
</file>